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F1ACE" w14:textId="4C4B0340" w:rsidR="00B6459F" w:rsidRDefault="00000000">
      <w:pPr>
        <w:spacing w:after="200"/>
        <w:jc w:val="center"/>
      </w:pPr>
      <w:r>
        <w:rPr>
          <w:b/>
          <w:bCs/>
          <w:color w:val="1F4E79"/>
          <w:sz w:val="40"/>
          <w:szCs w:val="40"/>
        </w:rPr>
        <w:t>TPRM T</w:t>
      </w:r>
      <w:r w:rsidR="008568F6">
        <w:rPr>
          <w:b/>
          <w:bCs/>
          <w:color w:val="1F4E79"/>
          <w:sz w:val="40"/>
          <w:szCs w:val="40"/>
        </w:rPr>
        <w:t>abletop</w:t>
      </w:r>
      <w:r>
        <w:rPr>
          <w:b/>
          <w:bCs/>
          <w:color w:val="1F4E79"/>
          <w:sz w:val="40"/>
          <w:szCs w:val="40"/>
        </w:rPr>
        <w:t xml:space="preserve"> E</w:t>
      </w:r>
      <w:r w:rsidR="008568F6">
        <w:rPr>
          <w:b/>
          <w:bCs/>
          <w:color w:val="1F4E79"/>
          <w:sz w:val="40"/>
          <w:szCs w:val="40"/>
        </w:rPr>
        <w:t>xercise</w:t>
      </w:r>
      <w:r>
        <w:rPr>
          <w:b/>
          <w:bCs/>
          <w:color w:val="1F4E79"/>
          <w:sz w:val="40"/>
          <w:szCs w:val="40"/>
        </w:rPr>
        <w:t xml:space="preserve"> T</w:t>
      </w:r>
      <w:r w:rsidR="008568F6">
        <w:rPr>
          <w:b/>
          <w:bCs/>
          <w:color w:val="1F4E79"/>
          <w:sz w:val="40"/>
          <w:szCs w:val="40"/>
        </w:rPr>
        <w:t>emplate</w:t>
      </w:r>
    </w:p>
    <w:p w14:paraId="6AD425E1" w14:textId="77777777" w:rsidR="00B6459F" w:rsidRDefault="00000000">
      <w:pPr>
        <w:spacing w:after="120"/>
        <w:jc w:val="center"/>
      </w:pPr>
      <w:r>
        <w:rPr>
          <w:color w:val="444444"/>
          <w:sz w:val="24"/>
          <w:szCs w:val="24"/>
        </w:rPr>
        <w:t>Vendor Incident Response Scenario | Facilitator and Participant Guide</w:t>
      </w:r>
    </w:p>
    <w:p w14:paraId="67BE08CB" w14:textId="77777777" w:rsidR="00B6459F" w:rsidRDefault="00000000">
      <w:pPr>
        <w:spacing w:after="360"/>
        <w:jc w:val="center"/>
      </w:pPr>
      <w:r>
        <w:rPr>
          <w:i/>
          <w:iCs/>
          <w:color w:val="666666"/>
          <w:sz w:val="20"/>
          <w:szCs w:val="20"/>
        </w:rPr>
        <w:t>Available at www.tpvrm.net/documents | The Future of Third-Party Risk Management &amp; Data Privacy</w:t>
      </w:r>
    </w:p>
    <w:p w14:paraId="00644EB5" w14:textId="77777777" w:rsidR="00B6459F" w:rsidRDefault="00000000">
      <w:pPr>
        <w:pStyle w:val="Heading1"/>
      </w:pPr>
      <w:r>
        <w:t>EXERCISE OVERVIEW</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B6459F" w14:paraId="6823D789" w14:textId="77777777">
        <w:tblPrEx>
          <w:tblCellMar>
            <w:top w:w="0" w:type="dxa"/>
            <w:bottom w:w="0" w:type="dxa"/>
          </w:tblCellMar>
        </w:tblPrEx>
        <w:tc>
          <w:tcPr>
            <w:tcW w:w="2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232C2C01" w14:textId="77777777" w:rsidR="00B6459F" w:rsidRDefault="00000000">
            <w:r>
              <w:rPr>
                <w:b/>
                <w:bCs/>
                <w:sz w:val="20"/>
                <w:szCs w:val="20"/>
              </w:rPr>
              <w:t>Exercise Name</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0A0E952" w14:textId="77777777" w:rsidR="00B6459F" w:rsidRDefault="00000000">
            <w:r>
              <w:rPr>
                <w:sz w:val="20"/>
                <w:szCs w:val="20"/>
              </w:rPr>
              <w:t>[Insert Exercise Name]</w:t>
            </w:r>
          </w:p>
        </w:tc>
      </w:tr>
      <w:tr w:rsidR="00B6459F" w14:paraId="4CA34718" w14:textId="77777777">
        <w:tblPrEx>
          <w:tblCellMar>
            <w:top w:w="0" w:type="dxa"/>
            <w:bottom w:w="0" w:type="dxa"/>
          </w:tblCellMar>
        </w:tblPrEx>
        <w:tc>
          <w:tcPr>
            <w:tcW w:w="2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4210A06D" w14:textId="77777777" w:rsidR="00B6459F" w:rsidRDefault="00000000">
            <w:r>
              <w:rPr>
                <w:b/>
                <w:bCs/>
                <w:sz w:val="20"/>
                <w:szCs w:val="20"/>
              </w:rPr>
              <w:t>Date</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2E74087" w14:textId="77777777" w:rsidR="00B6459F" w:rsidRDefault="00000000">
            <w:r>
              <w:rPr>
                <w:sz w:val="20"/>
                <w:szCs w:val="20"/>
              </w:rPr>
              <w:t>[Insert Date]</w:t>
            </w:r>
          </w:p>
        </w:tc>
      </w:tr>
      <w:tr w:rsidR="00B6459F" w14:paraId="1F1ACEB5" w14:textId="77777777">
        <w:tblPrEx>
          <w:tblCellMar>
            <w:top w:w="0" w:type="dxa"/>
            <w:bottom w:w="0" w:type="dxa"/>
          </w:tblCellMar>
        </w:tblPrEx>
        <w:tc>
          <w:tcPr>
            <w:tcW w:w="2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2EEB4B92" w14:textId="77777777" w:rsidR="00B6459F" w:rsidRDefault="00000000">
            <w:r>
              <w:rPr>
                <w:b/>
                <w:bCs/>
                <w:sz w:val="20"/>
                <w:szCs w:val="20"/>
              </w:rPr>
              <w:t>Duration</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3BEF071" w14:textId="77777777" w:rsidR="00B6459F" w:rsidRDefault="00000000">
            <w:r>
              <w:rPr>
                <w:sz w:val="20"/>
                <w:szCs w:val="20"/>
              </w:rPr>
              <w:t>3-4 hours (adjustable)</w:t>
            </w:r>
          </w:p>
        </w:tc>
      </w:tr>
      <w:tr w:rsidR="00B6459F" w14:paraId="173DD5E6" w14:textId="77777777">
        <w:tblPrEx>
          <w:tblCellMar>
            <w:top w:w="0" w:type="dxa"/>
            <w:bottom w:w="0" w:type="dxa"/>
          </w:tblCellMar>
        </w:tblPrEx>
        <w:tc>
          <w:tcPr>
            <w:tcW w:w="2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6278BD4F" w14:textId="77777777" w:rsidR="00B6459F" w:rsidRDefault="00000000">
            <w:r>
              <w:rPr>
                <w:b/>
                <w:bCs/>
                <w:sz w:val="20"/>
                <w:szCs w:val="20"/>
              </w:rPr>
              <w:t>Facilitator</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D036B72" w14:textId="77777777" w:rsidR="00B6459F" w:rsidRDefault="00000000">
            <w:r>
              <w:rPr>
                <w:sz w:val="20"/>
                <w:szCs w:val="20"/>
              </w:rPr>
              <w:t>[Insert Facilitator Name and Title]</w:t>
            </w:r>
          </w:p>
        </w:tc>
      </w:tr>
      <w:tr w:rsidR="00B6459F" w14:paraId="6F7FFF8D" w14:textId="77777777">
        <w:tblPrEx>
          <w:tblCellMar>
            <w:top w:w="0" w:type="dxa"/>
            <w:bottom w:w="0" w:type="dxa"/>
          </w:tblCellMar>
        </w:tblPrEx>
        <w:tc>
          <w:tcPr>
            <w:tcW w:w="2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3A439818" w14:textId="77777777" w:rsidR="00B6459F" w:rsidRDefault="00000000">
            <w:r>
              <w:rPr>
                <w:b/>
                <w:bCs/>
                <w:sz w:val="20"/>
                <w:szCs w:val="20"/>
              </w:rPr>
              <w:t>Participants</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E2EABC2" w14:textId="77777777" w:rsidR="00B6459F" w:rsidRDefault="00000000">
            <w:r>
              <w:rPr>
                <w:sz w:val="20"/>
                <w:szCs w:val="20"/>
              </w:rPr>
              <w:t>TPRM Team, Legal, Information Security, Privacy, Procurement, Business Unit Representatives, Executive Sponsor (optional)</w:t>
            </w:r>
          </w:p>
        </w:tc>
      </w:tr>
      <w:tr w:rsidR="00B6459F" w14:paraId="267D6C38" w14:textId="77777777">
        <w:tblPrEx>
          <w:tblCellMar>
            <w:top w:w="0" w:type="dxa"/>
            <w:bottom w:w="0" w:type="dxa"/>
          </w:tblCellMar>
        </w:tblPrEx>
        <w:tc>
          <w:tcPr>
            <w:tcW w:w="2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1C7BA867" w14:textId="77777777" w:rsidR="00B6459F" w:rsidRDefault="00000000">
            <w:r>
              <w:rPr>
                <w:b/>
                <w:bCs/>
                <w:sz w:val="20"/>
                <w:szCs w:val="20"/>
              </w:rPr>
              <w:t>Classification</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EF84BB6" w14:textId="77777777" w:rsidR="00B6459F" w:rsidRDefault="00000000">
            <w:r>
              <w:rPr>
                <w:b/>
                <w:bCs/>
                <w:sz w:val="20"/>
                <w:szCs w:val="20"/>
              </w:rPr>
              <w:t>CONFIDENTIAL - FOR EXERCISE PURPOSES ONLY</w:t>
            </w:r>
          </w:p>
        </w:tc>
      </w:tr>
    </w:tbl>
    <w:p w14:paraId="34AD77C9" w14:textId="77777777" w:rsidR="00B6459F" w:rsidRDefault="00B6459F">
      <w:pPr>
        <w:spacing w:after="80"/>
      </w:pPr>
    </w:p>
    <w:p w14:paraId="7DD932E2" w14:textId="11C29A07" w:rsidR="00B6459F" w:rsidRDefault="00000000">
      <w:pPr>
        <w:spacing w:after="120"/>
      </w:pPr>
      <w:r>
        <w:t>Note: The fictional vendor names used in this scenario (</w:t>
      </w:r>
      <w:proofErr w:type="spellStart"/>
      <w:r>
        <w:t>DataFlow</w:t>
      </w:r>
      <w:proofErr w:type="spellEnd"/>
      <w:r>
        <w:t xml:space="preserve"> Analytics, </w:t>
      </w:r>
      <w:proofErr w:type="spellStart"/>
      <w:r>
        <w:t>CloudSecure</w:t>
      </w:r>
      <w:proofErr w:type="spellEnd"/>
      <w:r>
        <w:t xml:space="preserve"> Corp) do not represent any real organizations. Ad</w:t>
      </w:r>
      <w:r w:rsidR="008568F6">
        <w:t>jus</w:t>
      </w:r>
      <w:r>
        <w:t xml:space="preserve">t the scenario details to </w:t>
      </w:r>
      <w:r w:rsidR="008568F6">
        <w:t>match</w:t>
      </w:r>
      <w:r>
        <w:t xml:space="preserve"> the characteristics of actual Tier 1 vendors in your portfolio</w:t>
      </w:r>
      <w:r w:rsidR="008568F6">
        <w:t>,</w:t>
      </w:r>
      <w:r>
        <w:t xml:space="preserve"> without using real vendor names in the exercise.</w:t>
      </w:r>
    </w:p>
    <w:p w14:paraId="1081F247" w14:textId="77777777" w:rsidR="00B6459F" w:rsidRDefault="00B6459F">
      <w:pPr>
        <w:spacing w:after="80"/>
      </w:pPr>
    </w:p>
    <w:p w14:paraId="6438501A" w14:textId="77777777" w:rsidR="00B6459F" w:rsidRDefault="00000000">
      <w:pPr>
        <w:pStyle w:val="Heading1"/>
      </w:pPr>
      <w:r>
        <w:t>EXERCISE OBJECTIVES</w:t>
      </w:r>
    </w:p>
    <w:p w14:paraId="5F65EC21" w14:textId="162BBA7A" w:rsidR="00B6459F" w:rsidRDefault="008568F6">
      <w:pPr>
        <w:spacing w:after="120"/>
      </w:pPr>
      <w:r>
        <w:t>This tabletop exercise aims to assess and enhance the organization's capability to respond to a major vendor security incident. Participants should understand by the end of the exercise:</w:t>
      </w:r>
    </w:p>
    <w:p w14:paraId="6420A366" w14:textId="6D7C7FE6" w:rsidR="00B6459F" w:rsidRDefault="008568F6">
      <w:pPr>
        <w:pStyle w:val="ListParagraph"/>
        <w:numPr>
          <w:ilvl w:val="0"/>
          <w:numId w:val="2"/>
        </w:numPr>
        <w:spacing w:after="80"/>
      </w:pPr>
      <w:r>
        <w:t>The process an organization follows in response to a vendor incident notification</w:t>
      </w:r>
    </w:p>
    <w:p w14:paraId="53297218" w14:textId="6832354F" w:rsidR="00B6459F" w:rsidRDefault="00000000">
      <w:pPr>
        <w:pStyle w:val="ListParagraph"/>
        <w:numPr>
          <w:ilvl w:val="0"/>
          <w:numId w:val="2"/>
        </w:numPr>
        <w:spacing w:after="80"/>
      </w:pPr>
      <w:r>
        <w:t>The roles and decision</w:t>
      </w:r>
      <w:r w:rsidR="008568F6">
        <w:t>-making</w:t>
      </w:r>
      <w:r>
        <w:t xml:space="preserve"> authorit</w:t>
      </w:r>
      <w:r w:rsidR="008568F6">
        <w:t>y</w:t>
      </w:r>
      <w:r>
        <w:t xml:space="preserve"> of each participating function</w:t>
      </w:r>
    </w:p>
    <w:p w14:paraId="780AEE17" w14:textId="710264D2" w:rsidR="00B6459F" w:rsidRDefault="00000000">
      <w:pPr>
        <w:pStyle w:val="ListParagraph"/>
        <w:numPr>
          <w:ilvl w:val="0"/>
          <w:numId w:val="2"/>
        </w:numPr>
        <w:spacing w:after="80"/>
      </w:pPr>
      <w:r>
        <w:t>The rights and obligations</w:t>
      </w:r>
      <w:r w:rsidR="008568F6">
        <w:t xml:space="preserve"> under the contract</w:t>
      </w:r>
      <w:r>
        <w:t xml:space="preserve"> triggered by a vendor breach</w:t>
      </w:r>
    </w:p>
    <w:p w14:paraId="565CCD5C" w14:textId="58919C61" w:rsidR="00B6459F" w:rsidRDefault="00000000">
      <w:pPr>
        <w:pStyle w:val="ListParagraph"/>
        <w:numPr>
          <w:ilvl w:val="0"/>
          <w:numId w:val="2"/>
        </w:numPr>
        <w:spacing w:after="80"/>
      </w:pPr>
      <w:r>
        <w:t xml:space="preserve">The regulatory notification </w:t>
      </w:r>
      <w:r w:rsidR="008568F6">
        <w:t>requirement</w:t>
      </w:r>
      <w:r>
        <w:t xml:space="preserve">s that may </w:t>
      </w:r>
      <w:r w:rsidR="008568F6">
        <w:t>occur</w:t>
      </w:r>
    </w:p>
    <w:p w14:paraId="413F1691" w14:textId="57674D6A" w:rsidR="00B6459F" w:rsidRDefault="00000000">
      <w:pPr>
        <w:pStyle w:val="ListParagraph"/>
        <w:numPr>
          <w:ilvl w:val="0"/>
          <w:numId w:val="2"/>
        </w:numPr>
        <w:spacing w:after="80"/>
      </w:pPr>
      <w:r>
        <w:t xml:space="preserve">Gaps in incident response processes, contractual </w:t>
      </w:r>
      <w:r w:rsidR="008568F6">
        <w:t>clause</w:t>
      </w:r>
      <w:r>
        <w:t>s, or communication protocols</w:t>
      </w:r>
    </w:p>
    <w:p w14:paraId="2C5191D8" w14:textId="77777777" w:rsidR="00B6459F" w:rsidRDefault="00B6459F">
      <w:pPr>
        <w:spacing w:after="80"/>
      </w:pPr>
    </w:p>
    <w:p w14:paraId="5054C4CA" w14:textId="77777777" w:rsidR="00B6459F" w:rsidRDefault="00000000">
      <w:pPr>
        <w:pStyle w:val="Heading1"/>
      </w:pPr>
      <w:r>
        <w:t>SCENARIO BACKGROUND</w:t>
      </w:r>
    </w:p>
    <w:p w14:paraId="5F0E517F" w14:textId="6B5F3B53" w:rsidR="00B6459F" w:rsidRDefault="008568F6">
      <w:pPr>
        <w:spacing w:after="80"/>
      </w:pPr>
      <w:r>
        <w:rPr>
          <w:i/>
          <w:iCs/>
          <w:color w:val="666666"/>
          <w:sz w:val="20"/>
          <w:szCs w:val="20"/>
        </w:rPr>
        <w:t xml:space="preserve">Read aloud or hand out to participants at the start of the </w:t>
      </w:r>
      <w:r w:rsidRPr="008568F6">
        <w:rPr>
          <w:i/>
          <w:iCs/>
          <w:color w:val="666666"/>
          <w:sz w:val="20"/>
          <w:szCs w:val="20"/>
        </w:rPr>
        <w:t xml:space="preserve">exercise. Do not share scenarios </w:t>
      </w:r>
      <w:r w:rsidRPr="008568F6">
        <w:rPr>
          <w:i/>
          <w:iCs/>
          <w:color w:val="666666"/>
          <w:sz w:val="20"/>
          <w:szCs w:val="20"/>
        </w:rPr>
        <w:t>beforehand.</w:t>
      </w:r>
    </w:p>
    <w:p w14:paraId="4359665A" w14:textId="77777777" w:rsidR="00B6459F" w:rsidRDefault="00B6459F">
      <w:pPr>
        <w:spacing w:after="80"/>
      </w:pPr>
    </w:p>
    <w:p w14:paraId="57B87624" w14:textId="77777777" w:rsidR="00B6459F" w:rsidRDefault="00000000">
      <w:pPr>
        <w:spacing w:after="180"/>
      </w:pPr>
      <w:r>
        <w:rPr>
          <w:b/>
          <w:bCs/>
          <w:color w:val="C55A11"/>
          <w:sz w:val="26"/>
          <w:szCs w:val="26"/>
        </w:rPr>
        <w:t>MASTER SCENARIO EVENT LIST (MSEL): DATAFLOW ANALYTICS INCIDENT</w:t>
      </w:r>
    </w:p>
    <w:p w14:paraId="5A992F0C" w14:textId="563C120E" w:rsidR="00B6459F" w:rsidRDefault="00000000">
      <w:pPr>
        <w:spacing w:after="120"/>
      </w:pPr>
      <w:proofErr w:type="spellStart"/>
      <w:r>
        <w:t>DataFlow</w:t>
      </w:r>
      <w:proofErr w:type="spellEnd"/>
      <w:r>
        <w:t xml:space="preserve"> Analytics (fictional) is a SaaS platform your organization uses for customer analytics, data aggregation, and reporting. Under your contract, </w:t>
      </w:r>
      <w:proofErr w:type="spellStart"/>
      <w:r>
        <w:t>DataFlow</w:t>
      </w:r>
      <w:proofErr w:type="spellEnd"/>
      <w:r>
        <w:t xml:space="preserve"> processes customer names, email addresses, transaction histories, and behavioral profiles for a</w:t>
      </w:r>
      <w:r w:rsidR="008568F6">
        <w:t>bout</w:t>
      </w:r>
      <w:r>
        <w:t xml:space="preserve"> 400,000 of your customers. </w:t>
      </w:r>
      <w:proofErr w:type="spellStart"/>
      <w:r>
        <w:t>DataFlow</w:t>
      </w:r>
      <w:proofErr w:type="spellEnd"/>
      <w:r>
        <w:t xml:space="preserve"> is classified as a Tier 1 vendor in your TPRM program. Your organization signed a Data Processing Agreement (DPA) with </w:t>
      </w:r>
      <w:proofErr w:type="spellStart"/>
      <w:r>
        <w:t>DataFlow</w:t>
      </w:r>
      <w:proofErr w:type="spellEnd"/>
      <w:r>
        <w:t xml:space="preserve"> 18 months ago.</w:t>
      </w:r>
    </w:p>
    <w:p w14:paraId="41AED5BF" w14:textId="5440FEEB" w:rsidR="00B6459F" w:rsidRDefault="00000000">
      <w:pPr>
        <w:spacing w:after="120"/>
      </w:pPr>
      <w:proofErr w:type="spellStart"/>
      <w:r>
        <w:t>DataFlow</w:t>
      </w:r>
      <w:proofErr w:type="spellEnd"/>
      <w:r>
        <w:t xml:space="preserve"> </w:t>
      </w:r>
      <w:r w:rsidR="008568F6">
        <w:t>store</w:t>
      </w:r>
      <w:r>
        <w:t xml:space="preserve">s your data in a shared cloud environment </w:t>
      </w:r>
      <w:r w:rsidR="008568F6">
        <w:t>with</w:t>
      </w:r>
      <w:r>
        <w:t xml:space="preserve"> </w:t>
      </w:r>
      <w:r w:rsidR="008568F6">
        <w:t>over 60</w:t>
      </w:r>
      <w:r>
        <w:t xml:space="preserve"> other enterprise clients. Your contract includes a 72-hour breach notification requirement, a right to audit, and a prohibition on using your data to train AI models.</w:t>
      </w:r>
    </w:p>
    <w:p w14:paraId="6B4AD9EC" w14:textId="77777777" w:rsidR="00B6459F" w:rsidRDefault="00B6459F">
      <w:pPr>
        <w:spacing w:after="80"/>
      </w:pPr>
    </w:p>
    <w:p w14:paraId="31973543" w14:textId="77777777" w:rsidR="00B6459F" w:rsidRDefault="00000000">
      <w:pPr>
        <w:pStyle w:val="Heading2"/>
      </w:pPr>
      <w:r>
        <w:t>INJECT 1: Initial Notification (T+0)</w:t>
      </w:r>
    </w:p>
    <w:p w14:paraId="10E30EDA" w14:textId="532CF491" w:rsidR="00B6459F" w:rsidRDefault="008568F6">
      <w:pPr>
        <w:spacing w:after="120"/>
      </w:pPr>
      <w:r>
        <w:t xml:space="preserve">Friday at 4:45 PM, your TPRM team receives an email from </w:t>
      </w:r>
      <w:proofErr w:type="spellStart"/>
      <w:r>
        <w:t>DataFlow</w:t>
      </w:r>
      <w:proofErr w:type="spellEnd"/>
      <w:r>
        <w:t xml:space="preserve"> Analytics' Chief Security Officer with the subject line: "Important Security Notice - Potential Data Exposure." The email states that </w:t>
      </w:r>
      <w:proofErr w:type="spellStart"/>
      <w:r>
        <w:t>DataFlow</w:t>
      </w:r>
      <w:proofErr w:type="spellEnd"/>
      <w:r>
        <w:t xml:space="preserve"> has detected "anomalous access patterns" affecting its production environment and is "investigating a potential security event." It does not specify which clients are affected, describe the nature or scope of the exposure, and asks you to "stand by for further information."</w:t>
      </w:r>
    </w:p>
    <w:p w14:paraId="71BD8DEB" w14:textId="77777777" w:rsidR="00B6459F" w:rsidRDefault="00B6459F">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3280"/>
        <w:gridCol w:w="2840"/>
        <w:gridCol w:w="2840"/>
      </w:tblGrid>
      <w:tr w:rsidR="00B6459F" w14:paraId="1641ABEA" w14:textId="77777777">
        <w:tblPrEx>
          <w:tblCellMar>
            <w:top w:w="0" w:type="dxa"/>
            <w:bottom w:w="0" w:type="dxa"/>
          </w:tblCellMar>
        </w:tblPrEx>
        <w:trPr>
          <w:tblHeader/>
        </w:trPr>
        <w:tc>
          <w:tcPr>
            <w:tcW w:w="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0FFA7094" w14:textId="77777777" w:rsidR="00B6459F" w:rsidRDefault="00000000">
            <w:r>
              <w:rPr>
                <w:b/>
                <w:bCs/>
                <w:color w:val="FFFFFF"/>
                <w:sz w:val="18"/>
                <w:szCs w:val="18"/>
              </w:rPr>
              <w:t>#</w:t>
            </w:r>
          </w:p>
        </w:tc>
        <w:tc>
          <w:tcPr>
            <w:tcW w:w="328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15BD8927" w14:textId="77777777" w:rsidR="00B6459F" w:rsidRDefault="00000000">
            <w:r>
              <w:rPr>
                <w:b/>
                <w:bCs/>
                <w:color w:val="FFFFFF"/>
                <w:sz w:val="18"/>
                <w:szCs w:val="18"/>
              </w:rPr>
              <w:t>Discussion Question</w:t>
            </w:r>
          </w:p>
        </w:tc>
        <w:tc>
          <w:tcPr>
            <w:tcW w:w="284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2343572A" w14:textId="77777777" w:rsidR="00B6459F" w:rsidRDefault="00000000">
            <w:r>
              <w:rPr>
                <w:b/>
                <w:bCs/>
                <w:color w:val="FFFFFF"/>
                <w:sz w:val="18"/>
                <w:szCs w:val="18"/>
              </w:rPr>
              <w:t>Expected Response / Key Points</w:t>
            </w:r>
          </w:p>
        </w:tc>
        <w:tc>
          <w:tcPr>
            <w:tcW w:w="284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6973B05C" w14:textId="77777777" w:rsidR="00B6459F" w:rsidRDefault="00000000">
            <w:r>
              <w:rPr>
                <w:b/>
                <w:bCs/>
                <w:color w:val="FFFFFF"/>
                <w:sz w:val="18"/>
                <w:szCs w:val="18"/>
              </w:rPr>
              <w:t>Facilitator Notes</w:t>
            </w:r>
          </w:p>
        </w:tc>
      </w:tr>
      <w:tr w:rsidR="00B6459F" w14:paraId="462C7A40" w14:textId="77777777">
        <w:tblPrEx>
          <w:tblCellMar>
            <w:top w:w="0" w:type="dxa"/>
            <w:bottom w:w="0" w:type="dxa"/>
          </w:tblCellMar>
        </w:tblPrEx>
        <w:tc>
          <w:tcPr>
            <w:tcW w:w="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706CF876" w14:textId="77777777" w:rsidR="00B6459F" w:rsidRDefault="00000000">
            <w:r>
              <w:rPr>
                <w:b/>
                <w:bCs/>
                <w:color w:val="FFFFFF"/>
                <w:sz w:val="20"/>
                <w:szCs w:val="20"/>
              </w:rPr>
              <w:t>1</w:t>
            </w:r>
          </w:p>
        </w:tc>
        <w:tc>
          <w:tcPr>
            <w:tcW w:w="32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F84B983" w14:textId="77777777" w:rsidR="00B6459F" w:rsidRDefault="00000000">
            <w:r>
              <w:rPr>
                <w:sz w:val="19"/>
                <w:szCs w:val="19"/>
              </w:rPr>
              <w:t>Who needs to be notified immediately within your organization?</w:t>
            </w:r>
          </w:p>
        </w:tc>
        <w:tc>
          <w:tcPr>
            <w:tcW w:w="284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41CD869E" w14:textId="77777777" w:rsidR="00B6459F" w:rsidRDefault="00000000">
            <w:r>
              <w:rPr>
                <w:sz w:val="18"/>
                <w:szCs w:val="18"/>
              </w:rPr>
              <w:t xml:space="preserve">TPRM Lead, CISO, Legal, Privacy Officer, and the business unit that owns the </w:t>
            </w:r>
            <w:proofErr w:type="spellStart"/>
            <w:r>
              <w:rPr>
                <w:sz w:val="18"/>
                <w:szCs w:val="18"/>
              </w:rPr>
              <w:t>DataFlow</w:t>
            </w:r>
            <w:proofErr w:type="spellEnd"/>
            <w:r>
              <w:rPr>
                <w:sz w:val="18"/>
                <w:szCs w:val="18"/>
              </w:rPr>
              <w:t xml:space="preserve"> relationship. Escalation chain should be documented in incident response procedures.</w:t>
            </w:r>
          </w:p>
        </w:tc>
        <w:tc>
          <w:tcPr>
            <w:tcW w:w="28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4B245CD" w14:textId="77777777" w:rsidR="00B6459F" w:rsidRDefault="00000000">
            <w:r>
              <w:rPr>
                <w:sz w:val="18"/>
                <w:szCs w:val="18"/>
              </w:rPr>
              <w:t>Ask: Does a documented escalation matrix exist? Who has the authority to declare a vendor incident?</w:t>
            </w:r>
          </w:p>
        </w:tc>
      </w:tr>
      <w:tr w:rsidR="00B6459F" w14:paraId="7216AD56" w14:textId="77777777">
        <w:tblPrEx>
          <w:tblCellMar>
            <w:top w:w="0" w:type="dxa"/>
            <w:bottom w:w="0" w:type="dxa"/>
          </w:tblCellMar>
        </w:tblPrEx>
        <w:tc>
          <w:tcPr>
            <w:tcW w:w="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335ACC9B" w14:textId="77777777" w:rsidR="00B6459F" w:rsidRDefault="00000000">
            <w:r>
              <w:rPr>
                <w:b/>
                <w:bCs/>
                <w:color w:val="FFFFFF"/>
                <w:sz w:val="20"/>
                <w:szCs w:val="20"/>
              </w:rPr>
              <w:t>2</w:t>
            </w:r>
          </w:p>
        </w:tc>
        <w:tc>
          <w:tcPr>
            <w:tcW w:w="32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D682A9A" w14:textId="77777777" w:rsidR="00B6459F" w:rsidRDefault="00000000">
            <w:r>
              <w:rPr>
                <w:sz w:val="19"/>
                <w:szCs w:val="19"/>
              </w:rPr>
              <w:t>What contractual rights can you invoke right now?</w:t>
            </w:r>
          </w:p>
        </w:tc>
        <w:tc>
          <w:tcPr>
            <w:tcW w:w="284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60373D0C" w14:textId="77777777" w:rsidR="00B6459F" w:rsidRDefault="00000000">
            <w:r>
              <w:rPr>
                <w:sz w:val="18"/>
                <w:szCs w:val="18"/>
              </w:rPr>
              <w:t>Review DPA for notification obligations, right to request status updates, right to audit, right to restrict processing, right to data inventory. Check 72-hour notification SLA.</w:t>
            </w:r>
          </w:p>
        </w:tc>
        <w:tc>
          <w:tcPr>
            <w:tcW w:w="28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22DCCCD" w14:textId="77777777" w:rsidR="00B6459F" w:rsidRDefault="00000000">
            <w:r>
              <w:rPr>
                <w:sz w:val="18"/>
                <w:szCs w:val="18"/>
              </w:rPr>
              <w:t>Ask: Do participants know where to find the contract and DPA? Is there a contract repository?</w:t>
            </w:r>
          </w:p>
        </w:tc>
      </w:tr>
      <w:tr w:rsidR="00B6459F" w14:paraId="331F6961" w14:textId="77777777">
        <w:tblPrEx>
          <w:tblCellMar>
            <w:top w:w="0" w:type="dxa"/>
            <w:bottom w:w="0" w:type="dxa"/>
          </w:tblCellMar>
        </w:tblPrEx>
        <w:tc>
          <w:tcPr>
            <w:tcW w:w="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6B04A66A" w14:textId="77777777" w:rsidR="00B6459F" w:rsidRDefault="00000000">
            <w:r>
              <w:rPr>
                <w:b/>
                <w:bCs/>
                <w:color w:val="FFFFFF"/>
                <w:sz w:val="20"/>
                <w:szCs w:val="20"/>
              </w:rPr>
              <w:t>3</w:t>
            </w:r>
          </w:p>
        </w:tc>
        <w:tc>
          <w:tcPr>
            <w:tcW w:w="32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C71192F" w14:textId="77777777" w:rsidR="00B6459F" w:rsidRDefault="00000000">
            <w:r>
              <w:rPr>
                <w:sz w:val="19"/>
                <w:szCs w:val="19"/>
              </w:rPr>
              <w:t xml:space="preserve">What information do you need from </w:t>
            </w:r>
            <w:proofErr w:type="spellStart"/>
            <w:r>
              <w:rPr>
                <w:sz w:val="19"/>
                <w:szCs w:val="19"/>
              </w:rPr>
              <w:t>DataFlow</w:t>
            </w:r>
            <w:proofErr w:type="spellEnd"/>
            <w:r>
              <w:rPr>
                <w:sz w:val="19"/>
                <w:szCs w:val="19"/>
              </w:rPr>
              <w:t xml:space="preserve"> within the next 24 hours?</w:t>
            </w:r>
          </w:p>
        </w:tc>
        <w:tc>
          <w:tcPr>
            <w:tcW w:w="284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09DFF07A" w14:textId="77777777" w:rsidR="00B6459F" w:rsidRDefault="00000000">
            <w:r>
              <w:rPr>
                <w:sz w:val="18"/>
                <w:szCs w:val="18"/>
              </w:rPr>
              <w:t>Nature of the incident, systems and data types affected, scope (which clients), timeline of events, containment measures taken, and whether a forensic investigation is underway.</w:t>
            </w:r>
          </w:p>
        </w:tc>
        <w:tc>
          <w:tcPr>
            <w:tcW w:w="28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F1927F9" w14:textId="77777777" w:rsidR="00B6459F" w:rsidRDefault="00000000">
            <w:r>
              <w:rPr>
                <w:sz w:val="18"/>
                <w:szCs w:val="18"/>
              </w:rPr>
              <w:t>Ask: Does your vendor notification policy require a specific format or content for incident notifications?</w:t>
            </w:r>
          </w:p>
        </w:tc>
      </w:tr>
    </w:tbl>
    <w:p w14:paraId="571A73B2" w14:textId="77777777" w:rsidR="00B6459F" w:rsidRDefault="00B6459F">
      <w:pPr>
        <w:spacing w:after="80"/>
      </w:pPr>
    </w:p>
    <w:p w14:paraId="2CD55C1E" w14:textId="77777777" w:rsidR="00B6459F" w:rsidRDefault="00000000">
      <w:pPr>
        <w:pStyle w:val="Heading2"/>
      </w:pPr>
      <w:r>
        <w:t>INJECT 2: Scope Confirmation (T+36 hours)</w:t>
      </w:r>
    </w:p>
    <w:p w14:paraId="103BA652" w14:textId="5A27BDD4" w:rsidR="00B6459F" w:rsidRDefault="008568F6">
      <w:pPr>
        <w:spacing w:after="120"/>
      </w:pPr>
      <w:r>
        <w:t xml:space="preserve">Monday morning. </w:t>
      </w:r>
      <w:proofErr w:type="spellStart"/>
      <w:r>
        <w:t>DataFlow</w:t>
      </w:r>
      <w:proofErr w:type="spellEnd"/>
      <w:r>
        <w:t xml:space="preserve"> issues a second notification confirming that a ransomware attack encrypted some of its production servers over the weekend. </w:t>
      </w:r>
      <w:proofErr w:type="spellStart"/>
      <w:r>
        <w:t>DataFlow</w:t>
      </w:r>
      <w:proofErr w:type="spellEnd"/>
      <w:r>
        <w:t xml:space="preserve"> confirms that your organization's customer data</w:t>
      </w:r>
      <w:r>
        <w:t xml:space="preserve">, </w:t>
      </w:r>
      <w:r>
        <w:t>names, email addresses, and transaction histories for about 380,000 customers</w:t>
      </w:r>
      <w:r>
        <w:t xml:space="preserve"> were</w:t>
      </w:r>
      <w:r>
        <w:t xml:space="preserve"> accessed by the attacker before encryption. </w:t>
      </w:r>
      <w:proofErr w:type="spellStart"/>
      <w:r>
        <w:t>DataFlow</w:t>
      </w:r>
      <w:proofErr w:type="spellEnd"/>
      <w:r>
        <w:t xml:space="preserve"> states it has contained the attack and is working with a forensic firm. </w:t>
      </w:r>
      <w:proofErr w:type="spellStart"/>
      <w:r>
        <w:t>DataFlow</w:t>
      </w:r>
      <w:proofErr w:type="spellEnd"/>
      <w:r>
        <w:t xml:space="preserve"> has not yet notified regulators.</w:t>
      </w:r>
    </w:p>
    <w:p w14:paraId="5B684CD6" w14:textId="77777777" w:rsidR="00B6459F" w:rsidRDefault="00B6459F">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3280"/>
        <w:gridCol w:w="2840"/>
        <w:gridCol w:w="2840"/>
      </w:tblGrid>
      <w:tr w:rsidR="00B6459F" w14:paraId="70CB0FFE" w14:textId="77777777">
        <w:tblPrEx>
          <w:tblCellMar>
            <w:top w:w="0" w:type="dxa"/>
            <w:bottom w:w="0" w:type="dxa"/>
          </w:tblCellMar>
        </w:tblPrEx>
        <w:trPr>
          <w:tblHeader/>
        </w:trPr>
        <w:tc>
          <w:tcPr>
            <w:tcW w:w="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4B589EA9" w14:textId="77777777" w:rsidR="00B6459F" w:rsidRDefault="00000000">
            <w:r>
              <w:rPr>
                <w:b/>
                <w:bCs/>
                <w:color w:val="FFFFFF"/>
                <w:sz w:val="18"/>
                <w:szCs w:val="18"/>
              </w:rPr>
              <w:t>#</w:t>
            </w:r>
          </w:p>
        </w:tc>
        <w:tc>
          <w:tcPr>
            <w:tcW w:w="328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21CB88F8" w14:textId="77777777" w:rsidR="00B6459F" w:rsidRDefault="00000000">
            <w:r>
              <w:rPr>
                <w:b/>
                <w:bCs/>
                <w:color w:val="FFFFFF"/>
                <w:sz w:val="18"/>
                <w:szCs w:val="18"/>
              </w:rPr>
              <w:t>Discussion Question</w:t>
            </w:r>
          </w:p>
        </w:tc>
        <w:tc>
          <w:tcPr>
            <w:tcW w:w="284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18526830" w14:textId="77777777" w:rsidR="00B6459F" w:rsidRDefault="00000000">
            <w:r>
              <w:rPr>
                <w:b/>
                <w:bCs/>
                <w:color w:val="FFFFFF"/>
                <w:sz w:val="18"/>
                <w:szCs w:val="18"/>
              </w:rPr>
              <w:t>Expected Response / Key Points</w:t>
            </w:r>
          </w:p>
        </w:tc>
        <w:tc>
          <w:tcPr>
            <w:tcW w:w="284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2C73C7F7" w14:textId="77777777" w:rsidR="00B6459F" w:rsidRDefault="00000000">
            <w:r>
              <w:rPr>
                <w:b/>
                <w:bCs/>
                <w:color w:val="FFFFFF"/>
                <w:sz w:val="18"/>
                <w:szCs w:val="18"/>
              </w:rPr>
              <w:t>Facilitator Notes</w:t>
            </w:r>
          </w:p>
        </w:tc>
      </w:tr>
      <w:tr w:rsidR="00B6459F" w14:paraId="5D7202DB" w14:textId="77777777">
        <w:tblPrEx>
          <w:tblCellMar>
            <w:top w:w="0" w:type="dxa"/>
            <w:bottom w:w="0" w:type="dxa"/>
          </w:tblCellMar>
        </w:tblPrEx>
        <w:tc>
          <w:tcPr>
            <w:tcW w:w="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39316521" w14:textId="77777777" w:rsidR="00B6459F" w:rsidRDefault="00000000">
            <w:r>
              <w:rPr>
                <w:b/>
                <w:bCs/>
                <w:color w:val="FFFFFF"/>
                <w:sz w:val="20"/>
                <w:szCs w:val="20"/>
              </w:rPr>
              <w:t>4</w:t>
            </w:r>
          </w:p>
        </w:tc>
        <w:tc>
          <w:tcPr>
            <w:tcW w:w="32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701855F" w14:textId="77777777" w:rsidR="00B6459F" w:rsidRDefault="00000000">
            <w:r>
              <w:rPr>
                <w:sz w:val="19"/>
                <w:szCs w:val="19"/>
              </w:rPr>
              <w:t>What are your regulatory notification obligations and timelines?</w:t>
            </w:r>
          </w:p>
        </w:tc>
        <w:tc>
          <w:tcPr>
            <w:tcW w:w="284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06653F2" w14:textId="77777777" w:rsidR="00B6459F" w:rsidRDefault="00000000">
            <w:r>
              <w:rPr>
                <w:sz w:val="18"/>
                <w:szCs w:val="18"/>
              </w:rPr>
              <w:t>GDPR 72-hour notification to DPA if EU residents affected. State breach notification laws (California, New York, etc.) based on resident location. FTC Safeguards Rule if applicable. Assess which laws apply based on customer geography.</w:t>
            </w:r>
          </w:p>
        </w:tc>
        <w:tc>
          <w:tcPr>
            <w:tcW w:w="28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0AF3ADE" w14:textId="77777777" w:rsidR="00B6459F" w:rsidRDefault="00000000">
            <w:r>
              <w:rPr>
                <w:sz w:val="18"/>
                <w:szCs w:val="18"/>
              </w:rPr>
              <w:t>Ask: Who owns regulatory notification decisions? Does legal have a current breach notification checklist?</w:t>
            </w:r>
          </w:p>
        </w:tc>
      </w:tr>
      <w:tr w:rsidR="00B6459F" w14:paraId="1941D39F" w14:textId="77777777">
        <w:tblPrEx>
          <w:tblCellMar>
            <w:top w:w="0" w:type="dxa"/>
            <w:bottom w:w="0" w:type="dxa"/>
          </w:tblCellMar>
        </w:tblPrEx>
        <w:tc>
          <w:tcPr>
            <w:tcW w:w="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79E46BD7" w14:textId="77777777" w:rsidR="00B6459F" w:rsidRDefault="00000000">
            <w:r>
              <w:rPr>
                <w:b/>
                <w:bCs/>
                <w:color w:val="FFFFFF"/>
                <w:sz w:val="20"/>
                <w:szCs w:val="20"/>
              </w:rPr>
              <w:t>5</w:t>
            </w:r>
          </w:p>
        </w:tc>
        <w:tc>
          <w:tcPr>
            <w:tcW w:w="32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B0A0C11" w14:textId="77777777" w:rsidR="00B6459F" w:rsidRDefault="00000000">
            <w:proofErr w:type="spellStart"/>
            <w:r>
              <w:rPr>
                <w:sz w:val="19"/>
                <w:szCs w:val="19"/>
              </w:rPr>
              <w:t>DataFlow</w:t>
            </w:r>
            <w:proofErr w:type="spellEnd"/>
            <w:r>
              <w:rPr>
                <w:sz w:val="19"/>
                <w:szCs w:val="19"/>
              </w:rPr>
              <w:t xml:space="preserve"> has not notified regulators. Does your organization need to act independently?</w:t>
            </w:r>
          </w:p>
        </w:tc>
        <w:tc>
          <w:tcPr>
            <w:tcW w:w="284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B7DD6D8" w14:textId="77777777" w:rsidR="00B6459F" w:rsidRDefault="00000000">
            <w:r>
              <w:rPr>
                <w:sz w:val="18"/>
                <w:szCs w:val="18"/>
              </w:rPr>
              <w:t xml:space="preserve">As data controller, your organization may have independent notification obligations regardless of what </w:t>
            </w:r>
            <w:r>
              <w:rPr>
                <w:sz w:val="18"/>
                <w:szCs w:val="18"/>
              </w:rPr>
              <w:lastRenderedPageBreak/>
              <w:t xml:space="preserve">the processor does. You cannot wait indefinitely for </w:t>
            </w:r>
            <w:proofErr w:type="spellStart"/>
            <w:r>
              <w:rPr>
                <w:sz w:val="18"/>
                <w:szCs w:val="18"/>
              </w:rPr>
              <w:t>DataFlow</w:t>
            </w:r>
            <w:proofErr w:type="spellEnd"/>
            <w:r>
              <w:rPr>
                <w:sz w:val="18"/>
                <w:szCs w:val="18"/>
              </w:rPr>
              <w:t xml:space="preserve"> to act. Engage legal to assess controller obligations.</w:t>
            </w:r>
          </w:p>
        </w:tc>
        <w:tc>
          <w:tcPr>
            <w:tcW w:w="28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5A8012D" w14:textId="77777777" w:rsidR="00B6459F" w:rsidRDefault="00000000">
            <w:r>
              <w:rPr>
                <w:sz w:val="18"/>
                <w:szCs w:val="18"/>
              </w:rPr>
              <w:lastRenderedPageBreak/>
              <w:t>Ask: Does the DPA clearly assign controller notification responsibility? What does your contract say?</w:t>
            </w:r>
          </w:p>
        </w:tc>
      </w:tr>
      <w:tr w:rsidR="00B6459F" w14:paraId="53261C6E" w14:textId="77777777">
        <w:tblPrEx>
          <w:tblCellMar>
            <w:top w:w="0" w:type="dxa"/>
            <w:bottom w:w="0" w:type="dxa"/>
          </w:tblCellMar>
        </w:tblPrEx>
        <w:tc>
          <w:tcPr>
            <w:tcW w:w="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0D603E0D" w14:textId="77777777" w:rsidR="00B6459F" w:rsidRDefault="00000000">
            <w:r>
              <w:rPr>
                <w:b/>
                <w:bCs/>
                <w:color w:val="FFFFFF"/>
                <w:sz w:val="20"/>
                <w:szCs w:val="20"/>
              </w:rPr>
              <w:t>6</w:t>
            </w:r>
          </w:p>
        </w:tc>
        <w:tc>
          <w:tcPr>
            <w:tcW w:w="32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039308B" w14:textId="77777777" w:rsidR="00B6459F" w:rsidRDefault="00000000">
            <w:r>
              <w:rPr>
                <w:sz w:val="19"/>
                <w:szCs w:val="19"/>
              </w:rPr>
              <w:t xml:space="preserve">Should you suspend </w:t>
            </w:r>
            <w:proofErr w:type="spellStart"/>
            <w:r>
              <w:rPr>
                <w:sz w:val="19"/>
                <w:szCs w:val="19"/>
              </w:rPr>
              <w:t>DataFlow's</w:t>
            </w:r>
            <w:proofErr w:type="spellEnd"/>
            <w:r>
              <w:rPr>
                <w:sz w:val="19"/>
                <w:szCs w:val="19"/>
              </w:rPr>
              <w:t xml:space="preserve"> access to your data or terminate the relationship?</w:t>
            </w:r>
          </w:p>
        </w:tc>
        <w:tc>
          <w:tcPr>
            <w:tcW w:w="284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6D082AB2" w14:textId="77777777" w:rsidR="00B6459F" w:rsidRDefault="00000000">
            <w:r>
              <w:rPr>
                <w:sz w:val="18"/>
                <w:szCs w:val="18"/>
              </w:rPr>
              <w:t xml:space="preserve">Assess: can </w:t>
            </w:r>
            <w:proofErr w:type="spellStart"/>
            <w:r>
              <w:rPr>
                <w:sz w:val="18"/>
                <w:szCs w:val="18"/>
              </w:rPr>
              <w:t>DataFlow</w:t>
            </w:r>
            <w:proofErr w:type="spellEnd"/>
            <w:r>
              <w:rPr>
                <w:sz w:val="18"/>
                <w:szCs w:val="18"/>
              </w:rPr>
              <w:t xml:space="preserve"> still process data safely? Does containment appear sufficient? Suspension and termination rights in contract. Business impact of suspension. Alternative vendor options.</w:t>
            </w:r>
          </w:p>
        </w:tc>
        <w:tc>
          <w:tcPr>
            <w:tcW w:w="28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D5AE593" w14:textId="77777777" w:rsidR="00B6459F" w:rsidRDefault="00000000">
            <w:r>
              <w:rPr>
                <w:sz w:val="18"/>
                <w:szCs w:val="18"/>
              </w:rPr>
              <w:t>Ask: Does the contract include a suspension right without termination? What is the cure period?</w:t>
            </w:r>
          </w:p>
        </w:tc>
      </w:tr>
      <w:tr w:rsidR="00B6459F" w14:paraId="6E18C30C" w14:textId="77777777">
        <w:tblPrEx>
          <w:tblCellMar>
            <w:top w:w="0" w:type="dxa"/>
            <w:bottom w:w="0" w:type="dxa"/>
          </w:tblCellMar>
        </w:tblPrEx>
        <w:tc>
          <w:tcPr>
            <w:tcW w:w="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781D94AE" w14:textId="77777777" w:rsidR="00B6459F" w:rsidRDefault="00000000">
            <w:r>
              <w:rPr>
                <w:b/>
                <w:bCs/>
                <w:color w:val="FFFFFF"/>
                <w:sz w:val="20"/>
                <w:szCs w:val="20"/>
              </w:rPr>
              <w:t>7</w:t>
            </w:r>
          </w:p>
        </w:tc>
        <w:tc>
          <w:tcPr>
            <w:tcW w:w="32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1DDC68E" w14:textId="77777777" w:rsidR="00B6459F" w:rsidRDefault="00000000">
            <w:r>
              <w:rPr>
                <w:sz w:val="19"/>
                <w:szCs w:val="19"/>
              </w:rPr>
              <w:t>What is your customer notification strategy?</w:t>
            </w:r>
          </w:p>
        </w:tc>
        <w:tc>
          <w:tcPr>
            <w:tcW w:w="284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4170C47" w14:textId="77777777" w:rsidR="00B6459F" w:rsidRDefault="00000000">
            <w:r>
              <w:rPr>
                <w:sz w:val="18"/>
                <w:szCs w:val="18"/>
              </w:rPr>
              <w:t xml:space="preserve">Notification obligations by state/jurisdiction. Timing and content of notice. Credit monitoring obligation. Designated communication channel. Legal review of notice content. Coordination with </w:t>
            </w:r>
            <w:proofErr w:type="spellStart"/>
            <w:r>
              <w:rPr>
                <w:sz w:val="18"/>
                <w:szCs w:val="18"/>
              </w:rPr>
              <w:t>DataFlow</w:t>
            </w:r>
            <w:proofErr w:type="spellEnd"/>
            <w:r>
              <w:rPr>
                <w:sz w:val="18"/>
                <w:szCs w:val="18"/>
              </w:rPr>
              <w:t xml:space="preserve"> on joint vs. separate notification.</w:t>
            </w:r>
          </w:p>
        </w:tc>
        <w:tc>
          <w:tcPr>
            <w:tcW w:w="28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33EDFB4" w14:textId="77777777" w:rsidR="00B6459F" w:rsidRDefault="00000000">
            <w:r>
              <w:rPr>
                <w:sz w:val="18"/>
                <w:szCs w:val="18"/>
              </w:rPr>
              <w:t>Ask: Is there a pre-drafted breach notification template? Who approves customer communications?</w:t>
            </w:r>
          </w:p>
        </w:tc>
      </w:tr>
    </w:tbl>
    <w:p w14:paraId="46FF8836" w14:textId="77777777" w:rsidR="00B6459F" w:rsidRDefault="00B6459F">
      <w:pPr>
        <w:spacing w:after="80"/>
      </w:pPr>
    </w:p>
    <w:p w14:paraId="54196C30" w14:textId="77777777" w:rsidR="00B6459F" w:rsidRDefault="00000000">
      <w:pPr>
        <w:pStyle w:val="Heading2"/>
      </w:pPr>
      <w:r>
        <w:t>INJECT 3: Complication (T+72 hours)</w:t>
      </w:r>
    </w:p>
    <w:p w14:paraId="6E584ED7" w14:textId="0264E27B" w:rsidR="00B6459F" w:rsidRDefault="008568F6">
      <w:pPr>
        <w:spacing w:after="120"/>
      </w:pPr>
      <w:r>
        <w:t xml:space="preserve">A privacy advocacy group posts on social media that it has found evidence of the </w:t>
      </w:r>
      <w:proofErr w:type="spellStart"/>
      <w:r>
        <w:t>DataFlow</w:t>
      </w:r>
      <w:proofErr w:type="spellEnd"/>
      <w:r>
        <w:t xml:space="preserve"> breach and names your organization as one of the affected clients. Media inquiries start pouring in. Meanwhile, </w:t>
      </w:r>
      <w:proofErr w:type="spellStart"/>
      <w:r>
        <w:t>DataFlow</w:t>
      </w:r>
      <w:proofErr w:type="spellEnd"/>
      <w:r>
        <w:t xml:space="preserve"> tells you that its forensic investigation suggests the attacker may have stolen data for up to 90 days before it was discovered.</w:t>
      </w:r>
    </w:p>
    <w:p w14:paraId="4CD59367" w14:textId="77777777" w:rsidR="00B6459F" w:rsidRDefault="00B6459F">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3"/>
        <w:gridCol w:w="3252"/>
        <w:gridCol w:w="2823"/>
        <w:gridCol w:w="2822"/>
      </w:tblGrid>
      <w:tr w:rsidR="00B6459F" w14:paraId="5E0F5526" w14:textId="77777777">
        <w:tblPrEx>
          <w:tblCellMar>
            <w:top w:w="0" w:type="dxa"/>
            <w:bottom w:w="0" w:type="dxa"/>
          </w:tblCellMar>
        </w:tblPrEx>
        <w:trPr>
          <w:tblHeader/>
        </w:trPr>
        <w:tc>
          <w:tcPr>
            <w:tcW w:w="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3884B5A7" w14:textId="77777777" w:rsidR="00B6459F" w:rsidRDefault="00000000">
            <w:r>
              <w:rPr>
                <w:b/>
                <w:bCs/>
                <w:color w:val="FFFFFF"/>
                <w:sz w:val="18"/>
                <w:szCs w:val="18"/>
              </w:rPr>
              <w:t>#</w:t>
            </w:r>
          </w:p>
        </w:tc>
        <w:tc>
          <w:tcPr>
            <w:tcW w:w="328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56399C56" w14:textId="77777777" w:rsidR="00B6459F" w:rsidRDefault="00000000">
            <w:r>
              <w:rPr>
                <w:b/>
                <w:bCs/>
                <w:color w:val="FFFFFF"/>
                <w:sz w:val="18"/>
                <w:szCs w:val="18"/>
              </w:rPr>
              <w:t>Discussion Question</w:t>
            </w:r>
          </w:p>
        </w:tc>
        <w:tc>
          <w:tcPr>
            <w:tcW w:w="284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7B2F72D2" w14:textId="77777777" w:rsidR="00B6459F" w:rsidRDefault="00000000">
            <w:r>
              <w:rPr>
                <w:b/>
                <w:bCs/>
                <w:color w:val="FFFFFF"/>
                <w:sz w:val="18"/>
                <w:szCs w:val="18"/>
              </w:rPr>
              <w:t>Expected Response / Key Points</w:t>
            </w:r>
          </w:p>
        </w:tc>
        <w:tc>
          <w:tcPr>
            <w:tcW w:w="284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6654CB7D" w14:textId="77777777" w:rsidR="00B6459F" w:rsidRDefault="00000000">
            <w:r>
              <w:rPr>
                <w:b/>
                <w:bCs/>
                <w:color w:val="FFFFFF"/>
                <w:sz w:val="18"/>
                <w:szCs w:val="18"/>
              </w:rPr>
              <w:t>Facilitator Notes</w:t>
            </w:r>
          </w:p>
        </w:tc>
      </w:tr>
      <w:tr w:rsidR="00B6459F" w14:paraId="1BB71722" w14:textId="77777777">
        <w:tblPrEx>
          <w:tblCellMar>
            <w:top w:w="0" w:type="dxa"/>
            <w:bottom w:w="0" w:type="dxa"/>
          </w:tblCellMar>
        </w:tblPrEx>
        <w:tc>
          <w:tcPr>
            <w:tcW w:w="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0D426B60" w14:textId="77777777" w:rsidR="00B6459F" w:rsidRDefault="00000000">
            <w:r>
              <w:rPr>
                <w:b/>
                <w:bCs/>
                <w:color w:val="FFFFFF"/>
                <w:sz w:val="20"/>
                <w:szCs w:val="20"/>
              </w:rPr>
              <w:t>8</w:t>
            </w:r>
          </w:p>
        </w:tc>
        <w:tc>
          <w:tcPr>
            <w:tcW w:w="32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81DE9D0" w14:textId="77777777" w:rsidR="00B6459F" w:rsidRDefault="00000000">
            <w:r>
              <w:rPr>
                <w:sz w:val="19"/>
                <w:szCs w:val="19"/>
              </w:rPr>
              <w:t>How do you handle inbound media inquiries?</w:t>
            </w:r>
          </w:p>
        </w:tc>
        <w:tc>
          <w:tcPr>
            <w:tcW w:w="284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3E9FA349" w14:textId="77777777" w:rsidR="00B6459F" w:rsidRDefault="00000000">
            <w:r>
              <w:rPr>
                <w:sz w:val="18"/>
                <w:szCs w:val="18"/>
              </w:rPr>
              <w:t>Designate single spokesperson. Prepare holding statement. Do not confirm or deny breach scope until investigation is complete. Coordinate with Legal and Communications.</w:t>
            </w:r>
          </w:p>
        </w:tc>
        <w:tc>
          <w:tcPr>
            <w:tcW w:w="28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D47EF61" w14:textId="77777777" w:rsidR="00B6459F" w:rsidRDefault="00000000">
            <w:r>
              <w:rPr>
                <w:sz w:val="18"/>
                <w:szCs w:val="18"/>
              </w:rPr>
              <w:t>Ask: Who is authorized to speak to media? Is there a crisis communications protocol?</w:t>
            </w:r>
          </w:p>
        </w:tc>
      </w:tr>
      <w:tr w:rsidR="00B6459F" w14:paraId="1A4DC52A" w14:textId="77777777">
        <w:tblPrEx>
          <w:tblCellMar>
            <w:top w:w="0" w:type="dxa"/>
            <w:bottom w:w="0" w:type="dxa"/>
          </w:tblCellMar>
        </w:tblPrEx>
        <w:tc>
          <w:tcPr>
            <w:tcW w:w="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59FF4459" w14:textId="77777777" w:rsidR="00B6459F" w:rsidRDefault="00000000">
            <w:r>
              <w:rPr>
                <w:b/>
                <w:bCs/>
                <w:color w:val="FFFFFF"/>
                <w:sz w:val="20"/>
                <w:szCs w:val="20"/>
              </w:rPr>
              <w:t>9</w:t>
            </w:r>
          </w:p>
        </w:tc>
        <w:tc>
          <w:tcPr>
            <w:tcW w:w="32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0EDF1BC" w14:textId="77777777" w:rsidR="00B6459F" w:rsidRDefault="00000000">
            <w:r>
              <w:rPr>
                <w:sz w:val="19"/>
                <w:szCs w:val="19"/>
              </w:rPr>
              <w:t>Does the 90-day exfiltration window change your legal and regulatory analysis?</w:t>
            </w:r>
          </w:p>
        </w:tc>
        <w:tc>
          <w:tcPr>
            <w:tcW w:w="284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335F8640" w14:textId="77777777" w:rsidR="00B6459F" w:rsidRDefault="00000000">
            <w:r>
              <w:rPr>
                <w:sz w:val="18"/>
                <w:szCs w:val="18"/>
              </w:rPr>
              <w:t>Potentially expands scope of affected data. Extends notification obligations. May implicate prior billing cycles or other data sets not initially identified. Triggers re-assessment of contract SLAs (was continuous monitoring in place?).</w:t>
            </w:r>
          </w:p>
        </w:tc>
        <w:tc>
          <w:tcPr>
            <w:tcW w:w="28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2AE0DA1" w14:textId="77777777" w:rsidR="00B6459F" w:rsidRDefault="00000000">
            <w:r>
              <w:rPr>
                <w:sz w:val="18"/>
                <w:szCs w:val="18"/>
              </w:rPr>
              <w:t>Ask: Does your monitoring program include real-time alerting for vendor anomalies? Would this have been detected sooner?</w:t>
            </w:r>
          </w:p>
        </w:tc>
      </w:tr>
      <w:tr w:rsidR="00B6459F" w14:paraId="53C7B4DF" w14:textId="77777777">
        <w:tblPrEx>
          <w:tblCellMar>
            <w:top w:w="0" w:type="dxa"/>
            <w:bottom w:w="0" w:type="dxa"/>
          </w:tblCellMar>
        </w:tblPrEx>
        <w:tc>
          <w:tcPr>
            <w:tcW w:w="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3491907C" w14:textId="77777777" w:rsidR="00B6459F" w:rsidRDefault="00000000">
            <w:r>
              <w:rPr>
                <w:b/>
                <w:bCs/>
                <w:color w:val="FFFFFF"/>
                <w:sz w:val="20"/>
                <w:szCs w:val="20"/>
              </w:rPr>
              <w:t>10</w:t>
            </w:r>
          </w:p>
        </w:tc>
        <w:tc>
          <w:tcPr>
            <w:tcW w:w="328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F60AFAD" w14:textId="77777777" w:rsidR="00B6459F" w:rsidRDefault="00000000">
            <w:r>
              <w:rPr>
                <w:sz w:val="19"/>
                <w:szCs w:val="19"/>
              </w:rPr>
              <w:t>What long-term contractual or vendor relationship decisions need to be made?</w:t>
            </w:r>
          </w:p>
        </w:tc>
        <w:tc>
          <w:tcPr>
            <w:tcW w:w="284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4B405664" w14:textId="77777777" w:rsidR="00B6459F" w:rsidRDefault="00000000">
            <w:r>
              <w:rPr>
                <w:sz w:val="18"/>
                <w:szCs w:val="18"/>
              </w:rPr>
              <w:t xml:space="preserve">Root cause analysis required from </w:t>
            </w:r>
            <w:proofErr w:type="spellStart"/>
            <w:r>
              <w:rPr>
                <w:sz w:val="18"/>
                <w:szCs w:val="18"/>
              </w:rPr>
              <w:t>DataFlow</w:t>
            </w:r>
            <w:proofErr w:type="spellEnd"/>
            <w:r>
              <w:rPr>
                <w:sz w:val="18"/>
                <w:szCs w:val="18"/>
              </w:rPr>
              <w:t>. Contract remediation: enhanced monitoring, audit, penalty provisions. Evaluate vendor replacement. Document risk acceptance decision if continuing relationship. Update TPRM risk register.</w:t>
            </w:r>
          </w:p>
        </w:tc>
        <w:tc>
          <w:tcPr>
            <w:tcW w:w="284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E3F0C4C" w14:textId="77777777" w:rsidR="00B6459F" w:rsidRDefault="00000000">
            <w:r>
              <w:rPr>
                <w:sz w:val="18"/>
                <w:szCs w:val="18"/>
              </w:rPr>
              <w:t>Ask: What does the contract say about remediation obligations and cure periods? Do you have an exit plan?</w:t>
            </w:r>
          </w:p>
        </w:tc>
      </w:tr>
    </w:tbl>
    <w:p w14:paraId="6C1F26F2" w14:textId="77777777" w:rsidR="00B6459F" w:rsidRDefault="00000000">
      <w:pPr>
        <w:pStyle w:val="Heading1"/>
      </w:pPr>
      <w:r>
        <w:lastRenderedPageBreak/>
        <w:t>DEBRIEF GUIDE</w:t>
      </w:r>
    </w:p>
    <w:p w14:paraId="022613D8" w14:textId="77777777" w:rsidR="00B6459F" w:rsidRDefault="00000000">
      <w:pPr>
        <w:spacing w:after="120"/>
      </w:pPr>
      <w:r>
        <w:t>After completing the scenario, conduct a structured debrief. Allow approximately 45-60 minutes.</w:t>
      </w:r>
    </w:p>
    <w:p w14:paraId="09D3F799" w14:textId="77777777" w:rsidR="00B6459F" w:rsidRDefault="00B6459F">
      <w:pPr>
        <w:spacing w:after="80"/>
      </w:pPr>
    </w:p>
    <w:p w14:paraId="23CE6FEB" w14:textId="77777777" w:rsidR="00B6459F" w:rsidRDefault="00000000">
      <w:pPr>
        <w:pStyle w:val="Heading2"/>
      </w:pPr>
      <w:r>
        <w:t>Lessons Learned Capture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B6459F" w14:paraId="702550D8" w14:textId="77777777">
        <w:tblPrEx>
          <w:tblCellMar>
            <w:top w:w="0" w:type="dxa"/>
            <w:bottom w:w="0" w:type="dxa"/>
          </w:tblCellMar>
        </w:tblPrEx>
        <w:trPr>
          <w:tblHeader/>
        </w:trPr>
        <w:tc>
          <w:tcPr>
            <w:tcW w:w="468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41A851D8" w14:textId="77777777" w:rsidR="00B6459F" w:rsidRDefault="00000000">
            <w:r>
              <w:rPr>
                <w:b/>
                <w:bCs/>
                <w:color w:val="FFFFFF"/>
                <w:sz w:val="20"/>
                <w:szCs w:val="20"/>
              </w:rPr>
              <w:t>What Worked Well</w:t>
            </w:r>
          </w:p>
        </w:tc>
        <w:tc>
          <w:tcPr>
            <w:tcW w:w="468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7158A0FF" w14:textId="77777777" w:rsidR="00B6459F" w:rsidRDefault="00000000">
            <w:r>
              <w:rPr>
                <w:b/>
                <w:bCs/>
                <w:color w:val="FFFFFF"/>
                <w:sz w:val="20"/>
                <w:szCs w:val="20"/>
              </w:rPr>
              <w:t>Gaps Identified / Improvement Actions</w:t>
            </w:r>
          </w:p>
        </w:tc>
      </w:tr>
      <w:tr w:rsidR="00B6459F" w14:paraId="40651F57" w14:textId="77777777">
        <w:tblPrEx>
          <w:tblCellMar>
            <w:top w:w="0" w:type="dxa"/>
            <w:bottom w:w="0" w:type="dxa"/>
          </w:tblCellMar>
        </w:tblPrEx>
        <w:tc>
          <w:tcPr>
            <w:tcW w:w="4680" w:type="dxa"/>
            <w:tcBorders>
              <w:top w:val="single" w:sz="4" w:space="0" w:color="AAAAAA"/>
              <w:left w:val="single" w:sz="4" w:space="0" w:color="AAAAAA"/>
              <w:bottom w:val="single" w:sz="4" w:space="0" w:color="AAAAAA"/>
              <w:right w:val="single" w:sz="4" w:space="0" w:color="AAAAAA"/>
            </w:tcBorders>
            <w:tcMar>
              <w:top w:w="200" w:type="dxa"/>
              <w:left w:w="120" w:type="dxa"/>
              <w:bottom w:w="200" w:type="dxa"/>
              <w:right w:w="120" w:type="dxa"/>
            </w:tcMar>
          </w:tcPr>
          <w:p w14:paraId="629B5232" w14:textId="77777777" w:rsidR="00B6459F" w:rsidRDefault="00B6459F"/>
        </w:tc>
        <w:tc>
          <w:tcPr>
            <w:tcW w:w="4680" w:type="dxa"/>
            <w:tcBorders>
              <w:top w:val="single" w:sz="4" w:space="0" w:color="AAAAAA"/>
              <w:left w:val="single" w:sz="4" w:space="0" w:color="AAAAAA"/>
              <w:bottom w:val="single" w:sz="4" w:space="0" w:color="AAAAAA"/>
              <w:right w:val="single" w:sz="4" w:space="0" w:color="AAAAAA"/>
            </w:tcBorders>
            <w:tcMar>
              <w:top w:w="200" w:type="dxa"/>
              <w:left w:w="120" w:type="dxa"/>
              <w:bottom w:w="200" w:type="dxa"/>
              <w:right w:w="120" w:type="dxa"/>
            </w:tcMar>
          </w:tcPr>
          <w:p w14:paraId="7BAD3F5F" w14:textId="77777777" w:rsidR="00B6459F" w:rsidRDefault="00B6459F"/>
        </w:tc>
      </w:tr>
      <w:tr w:rsidR="00B6459F" w14:paraId="4045412A" w14:textId="77777777">
        <w:tblPrEx>
          <w:tblCellMar>
            <w:top w:w="0" w:type="dxa"/>
            <w:bottom w:w="0" w:type="dxa"/>
          </w:tblCellMar>
        </w:tblPrEx>
        <w:tc>
          <w:tcPr>
            <w:tcW w:w="4680" w:type="dxa"/>
            <w:tcBorders>
              <w:top w:val="single" w:sz="4" w:space="0" w:color="AAAAAA"/>
              <w:left w:val="single" w:sz="4" w:space="0" w:color="AAAAAA"/>
              <w:bottom w:val="single" w:sz="4" w:space="0" w:color="AAAAAA"/>
              <w:right w:val="single" w:sz="4" w:space="0" w:color="AAAAAA"/>
            </w:tcBorders>
            <w:tcMar>
              <w:top w:w="200" w:type="dxa"/>
              <w:left w:w="120" w:type="dxa"/>
              <w:bottom w:w="200" w:type="dxa"/>
              <w:right w:w="120" w:type="dxa"/>
            </w:tcMar>
          </w:tcPr>
          <w:p w14:paraId="027021CE" w14:textId="77777777" w:rsidR="00B6459F" w:rsidRDefault="00B6459F"/>
        </w:tc>
        <w:tc>
          <w:tcPr>
            <w:tcW w:w="4680" w:type="dxa"/>
            <w:tcBorders>
              <w:top w:val="single" w:sz="4" w:space="0" w:color="AAAAAA"/>
              <w:left w:val="single" w:sz="4" w:space="0" w:color="AAAAAA"/>
              <w:bottom w:val="single" w:sz="4" w:space="0" w:color="AAAAAA"/>
              <w:right w:val="single" w:sz="4" w:space="0" w:color="AAAAAA"/>
            </w:tcBorders>
            <w:tcMar>
              <w:top w:w="200" w:type="dxa"/>
              <w:left w:w="120" w:type="dxa"/>
              <w:bottom w:w="200" w:type="dxa"/>
              <w:right w:w="120" w:type="dxa"/>
            </w:tcMar>
          </w:tcPr>
          <w:p w14:paraId="22CD7D1B" w14:textId="77777777" w:rsidR="00B6459F" w:rsidRDefault="00B6459F"/>
        </w:tc>
      </w:tr>
      <w:tr w:rsidR="00B6459F" w14:paraId="44940CC7" w14:textId="77777777">
        <w:tblPrEx>
          <w:tblCellMar>
            <w:top w:w="0" w:type="dxa"/>
            <w:bottom w:w="0" w:type="dxa"/>
          </w:tblCellMar>
        </w:tblPrEx>
        <w:tc>
          <w:tcPr>
            <w:tcW w:w="4680" w:type="dxa"/>
            <w:tcBorders>
              <w:top w:val="single" w:sz="4" w:space="0" w:color="AAAAAA"/>
              <w:left w:val="single" w:sz="4" w:space="0" w:color="AAAAAA"/>
              <w:bottom w:val="single" w:sz="4" w:space="0" w:color="AAAAAA"/>
              <w:right w:val="single" w:sz="4" w:space="0" w:color="AAAAAA"/>
            </w:tcBorders>
            <w:tcMar>
              <w:top w:w="200" w:type="dxa"/>
              <w:left w:w="120" w:type="dxa"/>
              <w:bottom w:w="200" w:type="dxa"/>
              <w:right w:w="120" w:type="dxa"/>
            </w:tcMar>
          </w:tcPr>
          <w:p w14:paraId="3BE1B642" w14:textId="77777777" w:rsidR="00B6459F" w:rsidRDefault="00B6459F"/>
        </w:tc>
        <w:tc>
          <w:tcPr>
            <w:tcW w:w="4680" w:type="dxa"/>
            <w:tcBorders>
              <w:top w:val="single" w:sz="4" w:space="0" w:color="AAAAAA"/>
              <w:left w:val="single" w:sz="4" w:space="0" w:color="AAAAAA"/>
              <w:bottom w:val="single" w:sz="4" w:space="0" w:color="AAAAAA"/>
              <w:right w:val="single" w:sz="4" w:space="0" w:color="AAAAAA"/>
            </w:tcBorders>
            <w:tcMar>
              <w:top w:w="200" w:type="dxa"/>
              <w:left w:w="120" w:type="dxa"/>
              <w:bottom w:w="200" w:type="dxa"/>
              <w:right w:w="120" w:type="dxa"/>
            </w:tcMar>
          </w:tcPr>
          <w:p w14:paraId="5D19DF30" w14:textId="77777777" w:rsidR="00B6459F" w:rsidRDefault="00B6459F"/>
        </w:tc>
      </w:tr>
    </w:tbl>
    <w:p w14:paraId="7EBB0E0C" w14:textId="77777777" w:rsidR="00B6459F" w:rsidRDefault="00B6459F">
      <w:pPr>
        <w:spacing w:after="80"/>
      </w:pPr>
    </w:p>
    <w:p w14:paraId="6916E7CE" w14:textId="77777777" w:rsidR="00B6459F" w:rsidRDefault="00000000">
      <w:pPr>
        <w:pStyle w:val="Heading2"/>
      </w:pPr>
      <w:r>
        <w:t>Action Items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000"/>
        <w:gridCol w:w="1680"/>
        <w:gridCol w:w="1680"/>
      </w:tblGrid>
      <w:tr w:rsidR="00B6459F" w14:paraId="56649723" w14:textId="77777777">
        <w:tblPrEx>
          <w:tblCellMar>
            <w:top w:w="0" w:type="dxa"/>
            <w:bottom w:w="0" w:type="dxa"/>
          </w:tblCellMar>
        </w:tblPrEx>
        <w:trPr>
          <w:tblHeader/>
        </w:trPr>
        <w:tc>
          <w:tcPr>
            <w:tcW w:w="3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2EC7B702" w14:textId="77777777" w:rsidR="00B6459F" w:rsidRDefault="00000000">
            <w:r>
              <w:rPr>
                <w:b/>
                <w:bCs/>
                <w:color w:val="FFFFFF"/>
                <w:sz w:val="20"/>
                <w:szCs w:val="20"/>
              </w:rPr>
              <w:t>Action Item</w:t>
            </w:r>
          </w:p>
        </w:tc>
        <w:tc>
          <w:tcPr>
            <w:tcW w:w="3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3EC49427" w14:textId="77777777" w:rsidR="00B6459F" w:rsidRDefault="00000000">
            <w:r>
              <w:rPr>
                <w:b/>
                <w:bCs/>
                <w:color w:val="FFFFFF"/>
                <w:sz w:val="20"/>
                <w:szCs w:val="20"/>
              </w:rPr>
              <w:t>Gap Addressed</w:t>
            </w:r>
          </w:p>
        </w:tc>
        <w:tc>
          <w:tcPr>
            <w:tcW w:w="168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16748080" w14:textId="77777777" w:rsidR="00B6459F" w:rsidRDefault="00000000">
            <w:r>
              <w:rPr>
                <w:b/>
                <w:bCs/>
                <w:color w:val="FFFFFF"/>
                <w:sz w:val="20"/>
                <w:szCs w:val="20"/>
              </w:rPr>
              <w:t>Owner</w:t>
            </w:r>
          </w:p>
        </w:tc>
        <w:tc>
          <w:tcPr>
            <w:tcW w:w="168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0E726A4C" w14:textId="77777777" w:rsidR="00B6459F" w:rsidRDefault="00000000">
            <w:r>
              <w:rPr>
                <w:b/>
                <w:bCs/>
                <w:color w:val="FFFFFF"/>
                <w:sz w:val="20"/>
                <w:szCs w:val="20"/>
              </w:rPr>
              <w:t>Due Date</w:t>
            </w:r>
          </w:p>
        </w:tc>
      </w:tr>
      <w:tr w:rsidR="00B6459F" w14:paraId="6FC174B1"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6C06F606" w14:textId="77777777" w:rsidR="00B6459F" w:rsidRDefault="00B6459F"/>
        </w:tc>
        <w:tc>
          <w:tcPr>
            <w:tcW w:w="300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62193BFD" w14:textId="77777777" w:rsidR="00B6459F" w:rsidRDefault="00B6459F"/>
        </w:tc>
        <w:tc>
          <w:tcPr>
            <w:tcW w:w="168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7D1F43D4" w14:textId="77777777" w:rsidR="00B6459F" w:rsidRDefault="00B6459F"/>
        </w:tc>
        <w:tc>
          <w:tcPr>
            <w:tcW w:w="168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337A23F0" w14:textId="77777777" w:rsidR="00B6459F" w:rsidRDefault="00B6459F"/>
        </w:tc>
      </w:tr>
      <w:tr w:rsidR="00B6459F" w14:paraId="2667E363"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6BA6A794" w14:textId="77777777" w:rsidR="00B6459F" w:rsidRDefault="00B6459F"/>
        </w:tc>
        <w:tc>
          <w:tcPr>
            <w:tcW w:w="300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7377CD93" w14:textId="77777777" w:rsidR="00B6459F" w:rsidRDefault="00B6459F"/>
        </w:tc>
        <w:tc>
          <w:tcPr>
            <w:tcW w:w="168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5616877F" w14:textId="77777777" w:rsidR="00B6459F" w:rsidRDefault="00B6459F"/>
        </w:tc>
        <w:tc>
          <w:tcPr>
            <w:tcW w:w="168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39590028" w14:textId="77777777" w:rsidR="00B6459F" w:rsidRDefault="00B6459F"/>
        </w:tc>
      </w:tr>
      <w:tr w:rsidR="00B6459F" w14:paraId="70AF7433"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7A8B132B" w14:textId="77777777" w:rsidR="00B6459F" w:rsidRDefault="00B6459F"/>
        </w:tc>
        <w:tc>
          <w:tcPr>
            <w:tcW w:w="300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446B6064" w14:textId="77777777" w:rsidR="00B6459F" w:rsidRDefault="00B6459F"/>
        </w:tc>
        <w:tc>
          <w:tcPr>
            <w:tcW w:w="168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665DBB43" w14:textId="77777777" w:rsidR="00B6459F" w:rsidRDefault="00B6459F"/>
        </w:tc>
        <w:tc>
          <w:tcPr>
            <w:tcW w:w="168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34E5D880" w14:textId="77777777" w:rsidR="00B6459F" w:rsidRDefault="00B6459F"/>
        </w:tc>
      </w:tr>
      <w:tr w:rsidR="00B6459F" w14:paraId="138152C8"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1609B03B" w14:textId="77777777" w:rsidR="00B6459F" w:rsidRDefault="00B6459F"/>
        </w:tc>
        <w:tc>
          <w:tcPr>
            <w:tcW w:w="300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0CBA89E6" w14:textId="77777777" w:rsidR="00B6459F" w:rsidRDefault="00B6459F"/>
        </w:tc>
        <w:tc>
          <w:tcPr>
            <w:tcW w:w="168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6B48F473" w14:textId="77777777" w:rsidR="00B6459F" w:rsidRDefault="00B6459F"/>
        </w:tc>
        <w:tc>
          <w:tcPr>
            <w:tcW w:w="168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68D6CCF2" w14:textId="77777777" w:rsidR="00B6459F" w:rsidRDefault="00B6459F"/>
        </w:tc>
      </w:tr>
      <w:tr w:rsidR="00B6459F" w14:paraId="0A01736F"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63518797" w14:textId="77777777" w:rsidR="00B6459F" w:rsidRDefault="00B6459F"/>
        </w:tc>
        <w:tc>
          <w:tcPr>
            <w:tcW w:w="300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49CB89E4" w14:textId="77777777" w:rsidR="00B6459F" w:rsidRDefault="00B6459F"/>
        </w:tc>
        <w:tc>
          <w:tcPr>
            <w:tcW w:w="168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2075C819" w14:textId="77777777" w:rsidR="00B6459F" w:rsidRDefault="00B6459F"/>
        </w:tc>
        <w:tc>
          <w:tcPr>
            <w:tcW w:w="168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618A1982" w14:textId="77777777" w:rsidR="00B6459F" w:rsidRDefault="00B6459F"/>
        </w:tc>
      </w:tr>
    </w:tbl>
    <w:p w14:paraId="74B62FAE" w14:textId="77777777" w:rsidR="00B6459F" w:rsidRDefault="00B6459F">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B6459F" w14:paraId="7C51E6B3" w14:textId="77777777">
        <w:tblPrEx>
          <w:tblCellMar>
            <w:top w:w="0" w:type="dxa"/>
            <w:bottom w:w="0" w:type="dxa"/>
          </w:tblCellMar>
        </w:tblPrEx>
        <w:tc>
          <w:tcPr>
            <w:tcW w:w="2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0C50158F" w14:textId="77777777" w:rsidR="00B6459F" w:rsidRDefault="00000000">
            <w:r>
              <w:rPr>
                <w:b/>
                <w:bCs/>
                <w:sz w:val="20"/>
                <w:szCs w:val="20"/>
              </w:rPr>
              <w:t>Exercise Facilitator Sign-Off</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757BF46" w14:textId="77777777" w:rsidR="00B6459F" w:rsidRDefault="00B6459F"/>
        </w:tc>
      </w:tr>
      <w:tr w:rsidR="00B6459F" w14:paraId="03F36F23" w14:textId="77777777">
        <w:tblPrEx>
          <w:tblCellMar>
            <w:top w:w="0" w:type="dxa"/>
            <w:bottom w:w="0" w:type="dxa"/>
          </w:tblCellMar>
        </w:tblPrEx>
        <w:tc>
          <w:tcPr>
            <w:tcW w:w="28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6D0C4E0C" w14:textId="77777777" w:rsidR="00B6459F" w:rsidRDefault="00000000">
            <w:r>
              <w:rPr>
                <w:b/>
                <w:bCs/>
                <w:sz w:val="20"/>
                <w:szCs w:val="20"/>
              </w:rPr>
              <w:t>After-Action Report Due</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C1B074B" w14:textId="77777777" w:rsidR="00B6459F" w:rsidRDefault="00B6459F"/>
        </w:tc>
      </w:tr>
    </w:tbl>
    <w:p w14:paraId="2CFB4F9B" w14:textId="77777777" w:rsidR="00B6459F" w:rsidRDefault="00B6459F">
      <w:pPr>
        <w:spacing w:after="80"/>
      </w:pPr>
    </w:p>
    <w:sectPr w:rsidR="00B6459F">
      <w:foot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81848" w14:textId="77777777" w:rsidR="00A70494" w:rsidRDefault="00A70494">
      <w:r>
        <w:separator/>
      </w:r>
    </w:p>
  </w:endnote>
  <w:endnote w:type="continuationSeparator" w:id="0">
    <w:p w14:paraId="718D8EB3" w14:textId="77777777" w:rsidR="00A70494" w:rsidRDefault="00A70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982DD" w14:textId="77777777" w:rsidR="00B6459F" w:rsidRDefault="00000000">
    <w:pPr>
      <w:jc w:val="center"/>
    </w:pPr>
    <w:r>
      <w:rPr>
        <w:color w:val="666666"/>
        <w:sz w:val="18"/>
        <w:szCs w:val="18"/>
      </w:rPr>
      <w:t xml:space="preserve">TPRM Tabletop Exercise Template | www.tpvrm.net/documents | Page </w:t>
    </w:r>
    <w:r>
      <w:rPr>
        <w:color w:val="666666"/>
        <w:sz w:val="18"/>
        <w:szCs w:val="18"/>
      </w:rPr>
      <w:fldChar w:fldCharType="begin"/>
    </w:r>
    <w:r>
      <w:rPr>
        <w:color w:val="666666"/>
        <w:sz w:val="18"/>
        <w:szCs w:val="18"/>
      </w:rPr>
      <w:instrText>PAGE</w:instrText>
    </w:r>
    <w:r>
      <w:rPr>
        <w:color w:val="666666"/>
        <w:sz w:val="18"/>
        <w:szCs w:val="18"/>
      </w:rPr>
      <w:fldChar w:fldCharType="separate"/>
    </w:r>
    <w:r w:rsidR="008568F6">
      <w:rPr>
        <w:noProof/>
        <w:color w:val="666666"/>
        <w:sz w:val="18"/>
        <w:szCs w:val="18"/>
      </w:rPr>
      <w:t>1</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B117A" w14:textId="77777777" w:rsidR="00A70494" w:rsidRDefault="00A70494">
      <w:r>
        <w:separator/>
      </w:r>
    </w:p>
  </w:footnote>
  <w:footnote w:type="continuationSeparator" w:id="0">
    <w:p w14:paraId="2D73F850" w14:textId="77777777" w:rsidR="00A70494" w:rsidRDefault="00A704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02594"/>
    <w:multiLevelType w:val="hybridMultilevel"/>
    <w:tmpl w:val="BA8E4816"/>
    <w:lvl w:ilvl="0" w:tplc="EDE04A2E">
      <w:start w:val="1"/>
      <w:numFmt w:val="bullet"/>
      <w:lvlText w:val="•"/>
      <w:lvlJc w:val="left"/>
      <w:pPr>
        <w:ind w:left="720" w:hanging="360"/>
      </w:pPr>
    </w:lvl>
    <w:lvl w:ilvl="1" w:tplc="198EA5DC">
      <w:numFmt w:val="decimal"/>
      <w:lvlText w:val=""/>
      <w:lvlJc w:val="left"/>
    </w:lvl>
    <w:lvl w:ilvl="2" w:tplc="58286E9C">
      <w:numFmt w:val="decimal"/>
      <w:lvlText w:val=""/>
      <w:lvlJc w:val="left"/>
    </w:lvl>
    <w:lvl w:ilvl="3" w:tplc="E6E6A95A">
      <w:numFmt w:val="decimal"/>
      <w:lvlText w:val=""/>
      <w:lvlJc w:val="left"/>
    </w:lvl>
    <w:lvl w:ilvl="4" w:tplc="695C5A70">
      <w:numFmt w:val="decimal"/>
      <w:lvlText w:val=""/>
      <w:lvlJc w:val="left"/>
    </w:lvl>
    <w:lvl w:ilvl="5" w:tplc="EB000EAA">
      <w:numFmt w:val="decimal"/>
      <w:lvlText w:val=""/>
      <w:lvlJc w:val="left"/>
    </w:lvl>
    <w:lvl w:ilvl="6" w:tplc="11960792">
      <w:numFmt w:val="decimal"/>
      <w:lvlText w:val=""/>
      <w:lvlJc w:val="left"/>
    </w:lvl>
    <w:lvl w:ilvl="7" w:tplc="E308404E">
      <w:numFmt w:val="decimal"/>
      <w:lvlText w:val=""/>
      <w:lvlJc w:val="left"/>
    </w:lvl>
    <w:lvl w:ilvl="8" w:tplc="3FB6AFD8">
      <w:numFmt w:val="decimal"/>
      <w:lvlText w:val=""/>
      <w:lvlJc w:val="left"/>
    </w:lvl>
  </w:abstractNum>
  <w:abstractNum w:abstractNumId="1" w15:restartNumberingAfterBreak="0">
    <w:nsid w:val="4E0C7007"/>
    <w:multiLevelType w:val="hybridMultilevel"/>
    <w:tmpl w:val="FE803156"/>
    <w:lvl w:ilvl="0" w:tplc="220216CE">
      <w:start w:val="1"/>
      <w:numFmt w:val="bullet"/>
      <w:lvlText w:val="●"/>
      <w:lvlJc w:val="left"/>
      <w:pPr>
        <w:ind w:left="720" w:hanging="360"/>
      </w:pPr>
    </w:lvl>
    <w:lvl w:ilvl="1" w:tplc="30464754">
      <w:start w:val="1"/>
      <w:numFmt w:val="bullet"/>
      <w:lvlText w:val="○"/>
      <w:lvlJc w:val="left"/>
      <w:pPr>
        <w:ind w:left="1440" w:hanging="360"/>
      </w:pPr>
    </w:lvl>
    <w:lvl w:ilvl="2" w:tplc="E01E7C48">
      <w:start w:val="1"/>
      <w:numFmt w:val="bullet"/>
      <w:lvlText w:val="■"/>
      <w:lvlJc w:val="left"/>
      <w:pPr>
        <w:ind w:left="2160" w:hanging="360"/>
      </w:pPr>
    </w:lvl>
    <w:lvl w:ilvl="3" w:tplc="5D086C84">
      <w:start w:val="1"/>
      <w:numFmt w:val="bullet"/>
      <w:lvlText w:val="●"/>
      <w:lvlJc w:val="left"/>
      <w:pPr>
        <w:ind w:left="2880" w:hanging="360"/>
      </w:pPr>
    </w:lvl>
    <w:lvl w:ilvl="4" w:tplc="8550E91C">
      <w:start w:val="1"/>
      <w:numFmt w:val="bullet"/>
      <w:lvlText w:val="○"/>
      <w:lvlJc w:val="left"/>
      <w:pPr>
        <w:ind w:left="3600" w:hanging="360"/>
      </w:pPr>
    </w:lvl>
    <w:lvl w:ilvl="5" w:tplc="733C3CC6">
      <w:start w:val="1"/>
      <w:numFmt w:val="bullet"/>
      <w:lvlText w:val="■"/>
      <w:lvlJc w:val="left"/>
      <w:pPr>
        <w:ind w:left="4320" w:hanging="360"/>
      </w:pPr>
    </w:lvl>
    <w:lvl w:ilvl="6" w:tplc="CDF829E4">
      <w:start w:val="1"/>
      <w:numFmt w:val="bullet"/>
      <w:lvlText w:val="●"/>
      <w:lvlJc w:val="left"/>
      <w:pPr>
        <w:ind w:left="5040" w:hanging="360"/>
      </w:pPr>
    </w:lvl>
    <w:lvl w:ilvl="7" w:tplc="5D3AEC3E">
      <w:start w:val="1"/>
      <w:numFmt w:val="bullet"/>
      <w:lvlText w:val="●"/>
      <w:lvlJc w:val="left"/>
      <w:pPr>
        <w:ind w:left="5760" w:hanging="360"/>
      </w:pPr>
    </w:lvl>
    <w:lvl w:ilvl="8" w:tplc="AD46E4CE">
      <w:start w:val="1"/>
      <w:numFmt w:val="bullet"/>
      <w:lvlText w:val="●"/>
      <w:lvlJc w:val="left"/>
      <w:pPr>
        <w:ind w:left="6480" w:hanging="360"/>
      </w:pPr>
    </w:lvl>
  </w:abstractNum>
  <w:num w:numId="1" w16cid:durableId="2027175867">
    <w:abstractNumId w:val="1"/>
    <w:lvlOverride w:ilvl="0">
      <w:startOverride w:val="1"/>
    </w:lvlOverride>
  </w:num>
  <w:num w:numId="2" w16cid:durableId="5113785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59F"/>
    <w:rsid w:val="005A2298"/>
    <w:rsid w:val="008568F6"/>
    <w:rsid w:val="00A70494"/>
    <w:rsid w:val="00B64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E85952"/>
  <w15:docId w15:val="{AA80B0F6-A6E7-C94C-A2C5-63827188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1F4E79"/>
      <w:sz w:val="32"/>
      <w:szCs w:val="32"/>
    </w:rPr>
  </w:style>
  <w:style w:type="paragraph" w:styleId="Heading2">
    <w:name w:val="heading 2"/>
    <w:uiPriority w:val="9"/>
    <w:unhideWhenUsed/>
    <w:qFormat/>
    <w:pPr>
      <w:spacing w:before="200" w:after="100"/>
      <w:outlineLvl w:val="1"/>
    </w:pPr>
    <w:rPr>
      <w:b/>
      <w:bCs/>
      <w:color w:val="1F4E79"/>
      <w:sz w:val="26"/>
      <w:szCs w:val="26"/>
    </w:rPr>
  </w:style>
  <w:style w:type="paragraph" w:styleId="Heading3">
    <w:name w:val="heading 3"/>
    <w:uiPriority w:val="9"/>
    <w:semiHidden/>
    <w:unhideWhenUsed/>
    <w:qFormat/>
    <w:pPr>
      <w:spacing w:before="160" w:after="80"/>
      <w:outlineLvl w:val="2"/>
    </w:pPr>
    <w:rPr>
      <w:b/>
      <w:bCs/>
      <w:color w:val="C55A11"/>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1191</Words>
  <Characters>6795</Characters>
  <Application>Microsoft Office Word</Application>
  <DocSecurity>0</DocSecurity>
  <Lines>56</Lines>
  <Paragraphs>15</Paragraphs>
  <ScaleCrop>false</ScaleCrop>
  <Company/>
  <LinksUpToDate>false</LinksUpToDate>
  <CharactersWithSpaces>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Norman J Levine</cp:lastModifiedBy>
  <cp:revision>2</cp:revision>
  <dcterms:created xsi:type="dcterms:W3CDTF">2026-03-08T07:53:00Z</dcterms:created>
  <dcterms:modified xsi:type="dcterms:W3CDTF">2026-03-10T18:47:00Z</dcterms:modified>
</cp:coreProperties>
</file>